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 CT2132Q1. ĐVLK: TRƯỜNG ĐH KTCN CẦN THƠ</w:t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730"/>
        <w:gridCol w:w="1590"/>
        <w:tblGridChange w:id="0">
          <w:tblGrid>
            <w:gridCol w:w="572"/>
            <w:gridCol w:w="1123"/>
            <w:gridCol w:w="3423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0976888840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thương mại quốc tế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0815745700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Thân Thị Ngọc Bích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0396495225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Luận văn tốt nghiệp - Luật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Trình tự, thủ tục giải quyết vụ án hình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Trình tự, thủ tục giải quyết vụ án hình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Trình tự, thủ tục giải quyết vụ án hình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Trình tự, thủ tục giải quyết vụ án hình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8E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Rsyqrux+w8DLnpU0cAx67eEj6w==">CgMxLjAyCGguZ2pkZ3hzMgloLjMwajB6bGwyCWguMWZvYjl0ZTgAciExSXlubmFRWG5QbmFNS3ozb2s4MlpPa0NsVXQ0RXRrQWk=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2022-09-26T02:03:00Z</dcterms:created>
</cp:coreProperties>
</file>